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F950D" w14:textId="77777777" w:rsidR="00F01383" w:rsidRDefault="00DC202A" w:rsidP="00D94AB0">
      <w:pPr>
        <w:tabs>
          <w:tab w:val="left" w:pos="7560"/>
        </w:tabs>
        <w:ind w:right="-1109"/>
        <w:rPr>
          <w:sz w:val="2"/>
          <w:szCs w:val="22"/>
          <w:lang w:val="pt-BR"/>
        </w:rPr>
      </w:pPr>
      <w:bookmarkStart w:id="0" w:name="tittle"/>
      <w:r>
        <w:rPr>
          <w:noProof/>
          <w:sz w:val="2"/>
          <w:szCs w:val="22"/>
          <w:lang w:val="pt-BR"/>
        </w:rPr>
        <w:object w:dxaOrig="1440" w:dyaOrig="1440" w14:anchorId="5B984C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margin-left:102.15pt;margin-top:-50.25pt;width:320.1pt;height:28.05pt;z-index:251659776;mso-wrap-edited:f" wrapcoords="3572 1580 2041 2634 170 7376 170 11590 2381 19493 5272 20020 11055 20020 17008 20020 21260 12117 21600 4215 18709 2107 9524 1580 3572 1580" o:allowincell="f" fillcolor="window">
            <v:imagedata r:id="rId10" o:title=""/>
          </v:shape>
          <o:OLEObject Type="Embed" ProgID="Word.Picture.8" ShapeID="_x0000_s2053" DrawAspect="Content" ObjectID="_1698234999" r:id="rId11"/>
        </w:object>
      </w:r>
      <w:r w:rsidR="00D94AB0" w:rsidRPr="0073014B">
        <w:rPr>
          <w:sz w:val="2"/>
          <w:szCs w:val="22"/>
          <w:lang w:val="pt-BR"/>
        </w:rPr>
        <w:t xml:space="preserve">  </w:t>
      </w:r>
    </w:p>
    <w:p w14:paraId="39241E7C" w14:textId="77777777" w:rsidR="00F01383" w:rsidRDefault="00F01383" w:rsidP="00D94AB0">
      <w:pPr>
        <w:tabs>
          <w:tab w:val="left" w:pos="7560"/>
        </w:tabs>
        <w:ind w:right="-1109"/>
        <w:rPr>
          <w:sz w:val="2"/>
          <w:szCs w:val="22"/>
          <w:lang w:val="pt-BR"/>
        </w:rPr>
      </w:pPr>
    </w:p>
    <w:p w14:paraId="11EEB2F7" w14:textId="77777777" w:rsidR="00F01383" w:rsidRDefault="00F01383" w:rsidP="00D94AB0">
      <w:pPr>
        <w:tabs>
          <w:tab w:val="left" w:pos="7560"/>
        </w:tabs>
        <w:ind w:right="-1109"/>
        <w:rPr>
          <w:sz w:val="2"/>
          <w:szCs w:val="22"/>
          <w:lang w:val="pt-BR"/>
        </w:rPr>
      </w:pPr>
    </w:p>
    <w:p w14:paraId="7B63C5EE" w14:textId="77777777" w:rsidR="00F01383" w:rsidRDefault="00F01383" w:rsidP="00D94AB0">
      <w:pPr>
        <w:tabs>
          <w:tab w:val="left" w:pos="7560"/>
        </w:tabs>
        <w:ind w:right="-1109"/>
        <w:rPr>
          <w:sz w:val="2"/>
          <w:szCs w:val="22"/>
          <w:lang w:val="pt-BR"/>
        </w:rPr>
      </w:pPr>
    </w:p>
    <w:p w14:paraId="365E828B" w14:textId="77777777" w:rsidR="00F01383" w:rsidRDefault="00F01383" w:rsidP="00D94AB0">
      <w:pPr>
        <w:tabs>
          <w:tab w:val="left" w:pos="7560"/>
        </w:tabs>
        <w:ind w:right="-1109"/>
        <w:rPr>
          <w:sz w:val="2"/>
          <w:szCs w:val="22"/>
          <w:lang w:val="pt-BR"/>
        </w:rPr>
      </w:pPr>
    </w:p>
    <w:p w14:paraId="67BA3B0B" w14:textId="77777777" w:rsidR="00F01383" w:rsidRDefault="00F01383" w:rsidP="00D94AB0">
      <w:pPr>
        <w:tabs>
          <w:tab w:val="left" w:pos="7560"/>
        </w:tabs>
        <w:ind w:right="-1109"/>
        <w:rPr>
          <w:sz w:val="2"/>
          <w:szCs w:val="22"/>
          <w:lang w:val="pt-BR"/>
        </w:rPr>
      </w:pPr>
    </w:p>
    <w:p w14:paraId="0FEBF60A" w14:textId="77777777" w:rsidR="00F01383" w:rsidRDefault="00F01383" w:rsidP="00D94AB0">
      <w:pPr>
        <w:tabs>
          <w:tab w:val="left" w:pos="7560"/>
        </w:tabs>
        <w:ind w:right="-1109"/>
        <w:rPr>
          <w:sz w:val="2"/>
          <w:szCs w:val="22"/>
          <w:lang w:val="pt-BR"/>
        </w:rPr>
      </w:pPr>
    </w:p>
    <w:p w14:paraId="49D02F4B" w14:textId="77777777" w:rsidR="00F01383" w:rsidRDefault="00F01383" w:rsidP="00D94AB0">
      <w:pPr>
        <w:tabs>
          <w:tab w:val="left" w:pos="7560"/>
        </w:tabs>
        <w:ind w:right="-1109"/>
        <w:rPr>
          <w:sz w:val="2"/>
          <w:szCs w:val="22"/>
          <w:lang w:val="pt-BR"/>
        </w:rPr>
      </w:pPr>
    </w:p>
    <w:p w14:paraId="3CA7B395" w14:textId="77777777" w:rsidR="00F01383" w:rsidRDefault="00F01383" w:rsidP="00D94AB0">
      <w:pPr>
        <w:tabs>
          <w:tab w:val="left" w:pos="7560"/>
        </w:tabs>
        <w:ind w:right="-1109"/>
        <w:rPr>
          <w:sz w:val="2"/>
          <w:szCs w:val="22"/>
          <w:lang w:val="pt-BR"/>
        </w:rPr>
      </w:pPr>
    </w:p>
    <w:p w14:paraId="28C7FECE" w14:textId="77777777" w:rsidR="00F01383" w:rsidRDefault="00F01383" w:rsidP="00D94AB0">
      <w:pPr>
        <w:tabs>
          <w:tab w:val="left" w:pos="7560"/>
        </w:tabs>
        <w:ind w:right="-1109"/>
        <w:rPr>
          <w:sz w:val="2"/>
          <w:szCs w:val="22"/>
          <w:lang w:val="pt-BR"/>
        </w:rPr>
      </w:pPr>
    </w:p>
    <w:p w14:paraId="2391D3C8" w14:textId="77777777" w:rsidR="00F01383" w:rsidRDefault="00F01383" w:rsidP="00D94AB0">
      <w:pPr>
        <w:tabs>
          <w:tab w:val="left" w:pos="7560"/>
        </w:tabs>
        <w:ind w:right="-1109"/>
        <w:rPr>
          <w:sz w:val="2"/>
          <w:szCs w:val="22"/>
          <w:lang w:val="pt-BR"/>
        </w:rPr>
      </w:pPr>
    </w:p>
    <w:p w14:paraId="5631650D" w14:textId="77777777" w:rsidR="00F01383" w:rsidRDefault="00F01383" w:rsidP="00D94AB0">
      <w:pPr>
        <w:tabs>
          <w:tab w:val="left" w:pos="7560"/>
        </w:tabs>
        <w:ind w:right="-1109"/>
        <w:rPr>
          <w:sz w:val="2"/>
          <w:szCs w:val="22"/>
          <w:lang w:val="pt-BR"/>
        </w:rPr>
      </w:pPr>
    </w:p>
    <w:p w14:paraId="23CFF035" w14:textId="77777777" w:rsidR="00F01383" w:rsidRDefault="00F01383" w:rsidP="00D94AB0">
      <w:pPr>
        <w:tabs>
          <w:tab w:val="left" w:pos="7560"/>
        </w:tabs>
        <w:ind w:right="-1109"/>
        <w:rPr>
          <w:sz w:val="2"/>
          <w:szCs w:val="22"/>
          <w:lang w:val="pt-BR"/>
        </w:rPr>
      </w:pPr>
    </w:p>
    <w:p w14:paraId="2D9EA108" w14:textId="77777777" w:rsidR="00F01383" w:rsidRDefault="00F01383" w:rsidP="00D94AB0">
      <w:pPr>
        <w:tabs>
          <w:tab w:val="left" w:pos="7560"/>
        </w:tabs>
        <w:ind w:right="-1109"/>
        <w:rPr>
          <w:sz w:val="2"/>
          <w:szCs w:val="22"/>
          <w:lang w:val="pt-BR"/>
        </w:rPr>
      </w:pPr>
    </w:p>
    <w:p w14:paraId="122D594B" w14:textId="77777777" w:rsidR="00F01383" w:rsidRDefault="00F01383" w:rsidP="00D94AB0">
      <w:pPr>
        <w:tabs>
          <w:tab w:val="left" w:pos="7560"/>
        </w:tabs>
        <w:ind w:right="-1109"/>
        <w:rPr>
          <w:sz w:val="2"/>
          <w:szCs w:val="22"/>
          <w:lang w:val="pt-BR"/>
        </w:rPr>
      </w:pPr>
    </w:p>
    <w:p w14:paraId="2BAA4F43" w14:textId="77777777" w:rsidR="00F01383" w:rsidRDefault="00F01383" w:rsidP="00D94AB0">
      <w:pPr>
        <w:tabs>
          <w:tab w:val="left" w:pos="7560"/>
        </w:tabs>
        <w:ind w:right="-1109"/>
        <w:rPr>
          <w:sz w:val="2"/>
          <w:szCs w:val="22"/>
          <w:lang w:val="pt-BR"/>
        </w:rPr>
      </w:pPr>
    </w:p>
    <w:p w14:paraId="4DE0160A" w14:textId="77777777" w:rsidR="00F01383" w:rsidRDefault="00F01383" w:rsidP="00D94AB0">
      <w:pPr>
        <w:tabs>
          <w:tab w:val="left" w:pos="7560"/>
        </w:tabs>
        <w:ind w:right="-1109"/>
        <w:rPr>
          <w:sz w:val="2"/>
          <w:szCs w:val="22"/>
          <w:lang w:val="pt-BR"/>
        </w:rPr>
      </w:pPr>
    </w:p>
    <w:p w14:paraId="696CDA61" w14:textId="3FAF947B" w:rsidR="00593C95" w:rsidRPr="0073014B" w:rsidRDefault="00D94AB0" w:rsidP="00D94AB0">
      <w:pPr>
        <w:tabs>
          <w:tab w:val="left" w:pos="7560"/>
        </w:tabs>
        <w:ind w:right="-1109"/>
        <w:rPr>
          <w:sz w:val="22"/>
          <w:szCs w:val="22"/>
          <w:lang w:val="pt-BR"/>
        </w:rPr>
      </w:pPr>
      <w:r w:rsidRPr="0073014B">
        <w:rPr>
          <w:sz w:val="22"/>
          <w:szCs w:val="22"/>
          <w:lang w:val="pt-BR"/>
        </w:rPr>
        <w:t>QUINQUAGÉSIMO PRIMEIRO PERÍODO ORDINÁRIO DE SESSÕES</w:t>
      </w:r>
      <w:r w:rsidR="00593C95" w:rsidRPr="0073014B">
        <w:rPr>
          <w:sz w:val="22"/>
          <w:szCs w:val="22"/>
          <w:lang w:val="pt-BR"/>
        </w:rPr>
        <w:tab/>
      </w:r>
      <w:r w:rsidRPr="0073014B">
        <w:rPr>
          <w:sz w:val="22"/>
          <w:szCs w:val="22"/>
          <w:lang w:val="pt-BR"/>
        </w:rPr>
        <w:t>OEA/Ser.P</w:t>
      </w:r>
    </w:p>
    <w:p w14:paraId="1002AA6F" w14:textId="2B285DBF" w:rsidR="00593C95" w:rsidRPr="0073014B" w:rsidRDefault="00D94AB0" w:rsidP="00E2092C">
      <w:pPr>
        <w:tabs>
          <w:tab w:val="center" w:pos="2160"/>
          <w:tab w:val="left" w:pos="7560"/>
        </w:tabs>
        <w:ind w:right="-25"/>
        <w:rPr>
          <w:sz w:val="22"/>
          <w:szCs w:val="22"/>
          <w:lang w:val="pt-BR"/>
        </w:rPr>
      </w:pPr>
      <w:r w:rsidRPr="0073014B">
        <w:rPr>
          <w:sz w:val="22"/>
          <w:szCs w:val="22"/>
          <w:lang w:val="pt-BR"/>
        </w:rPr>
        <w:t>De 10 a 12 de novembro de 2021</w:t>
      </w:r>
      <w:r w:rsidR="00593C95" w:rsidRPr="0073014B">
        <w:rPr>
          <w:sz w:val="22"/>
          <w:szCs w:val="22"/>
          <w:lang w:val="pt-BR"/>
        </w:rPr>
        <w:tab/>
      </w:r>
      <w:r w:rsidRPr="0073014B">
        <w:rPr>
          <w:sz w:val="22"/>
          <w:szCs w:val="22"/>
          <w:lang w:val="pt-BR"/>
        </w:rPr>
        <w:t>AG/INF.744/21</w:t>
      </w:r>
    </w:p>
    <w:p w14:paraId="51512D14" w14:textId="54D158D3" w:rsidR="00593C95" w:rsidRPr="0073014B" w:rsidRDefault="00D94AB0" w:rsidP="00E2092C">
      <w:pPr>
        <w:tabs>
          <w:tab w:val="left" w:pos="7560"/>
        </w:tabs>
        <w:ind w:right="-1109"/>
        <w:rPr>
          <w:sz w:val="22"/>
          <w:szCs w:val="22"/>
          <w:lang w:val="pt-BR"/>
        </w:rPr>
      </w:pPr>
      <w:r w:rsidRPr="0073014B">
        <w:rPr>
          <w:sz w:val="22"/>
          <w:szCs w:val="22"/>
          <w:lang w:val="pt-BR"/>
        </w:rPr>
        <w:t>Cidade da Guatemala, Guatemala</w:t>
      </w:r>
      <w:r w:rsidR="00593C95" w:rsidRPr="0073014B">
        <w:rPr>
          <w:sz w:val="22"/>
          <w:szCs w:val="22"/>
          <w:lang w:val="pt-BR"/>
        </w:rPr>
        <w:tab/>
      </w:r>
      <w:r w:rsidRPr="0073014B">
        <w:rPr>
          <w:sz w:val="22"/>
          <w:szCs w:val="22"/>
          <w:lang w:val="pt-BR"/>
        </w:rPr>
        <w:t>12 novembro 2021</w:t>
      </w:r>
    </w:p>
    <w:p w14:paraId="323B406B" w14:textId="0D9881D3" w:rsidR="00593C95" w:rsidRPr="0073014B" w:rsidRDefault="00D94AB0" w:rsidP="00E2092C">
      <w:pPr>
        <w:tabs>
          <w:tab w:val="center" w:pos="2160"/>
          <w:tab w:val="left" w:pos="7560"/>
        </w:tabs>
        <w:ind w:right="-1109"/>
        <w:rPr>
          <w:sz w:val="22"/>
          <w:szCs w:val="22"/>
          <w:lang w:val="pt-BR"/>
        </w:rPr>
      </w:pPr>
      <w:r w:rsidRPr="0073014B">
        <w:rPr>
          <w:sz w:val="22"/>
          <w:szCs w:val="22"/>
          <w:lang w:val="pt-BR"/>
        </w:rPr>
        <w:t>VIRTUAL</w:t>
      </w:r>
      <w:r w:rsidR="00593C95" w:rsidRPr="0073014B">
        <w:rPr>
          <w:sz w:val="22"/>
          <w:szCs w:val="22"/>
          <w:lang w:val="pt-BR"/>
        </w:rPr>
        <w:tab/>
      </w:r>
      <w:r w:rsidR="00593C95" w:rsidRPr="0073014B">
        <w:rPr>
          <w:sz w:val="22"/>
          <w:szCs w:val="22"/>
          <w:lang w:val="pt-BR"/>
        </w:rPr>
        <w:tab/>
      </w:r>
      <w:r w:rsidRPr="0073014B">
        <w:rPr>
          <w:sz w:val="22"/>
          <w:szCs w:val="22"/>
          <w:lang w:val="pt-BR"/>
        </w:rPr>
        <w:t>Original: espanhol</w:t>
      </w:r>
    </w:p>
    <w:p w14:paraId="6FA91FBA" w14:textId="77687732" w:rsidR="00F3404F" w:rsidRPr="0073014B" w:rsidRDefault="00F3404F" w:rsidP="00E2092C">
      <w:pPr>
        <w:pStyle w:val="Header"/>
        <w:tabs>
          <w:tab w:val="left" w:pos="720"/>
        </w:tabs>
        <w:rPr>
          <w:rFonts w:ascii="Times New Roman" w:hAnsi="Times New Roman"/>
          <w:noProof/>
          <w:szCs w:val="22"/>
          <w:lang w:val="pt-BR"/>
        </w:rPr>
      </w:pPr>
    </w:p>
    <w:p w14:paraId="6CE63FB7" w14:textId="35B0D833" w:rsidR="004E004E" w:rsidRPr="0073014B" w:rsidRDefault="004E004E" w:rsidP="00E2092C">
      <w:pPr>
        <w:pStyle w:val="Header"/>
        <w:tabs>
          <w:tab w:val="left" w:pos="720"/>
        </w:tabs>
        <w:rPr>
          <w:rFonts w:ascii="Times New Roman" w:hAnsi="Times New Roman"/>
          <w:noProof/>
          <w:szCs w:val="22"/>
          <w:lang w:val="pt-BR"/>
        </w:rPr>
      </w:pPr>
    </w:p>
    <w:p w14:paraId="60BACB43" w14:textId="47FFA7E7" w:rsidR="00050D12" w:rsidRPr="0073014B" w:rsidRDefault="00050D12" w:rsidP="00050D12">
      <w:pPr>
        <w:rPr>
          <w:sz w:val="22"/>
          <w:szCs w:val="22"/>
          <w:lang w:val="pt-BR"/>
        </w:rPr>
      </w:pPr>
    </w:p>
    <w:p w14:paraId="28BC2243" w14:textId="5B2F07D7" w:rsidR="00050D12" w:rsidRPr="0073014B" w:rsidRDefault="00050D12" w:rsidP="00050D12">
      <w:pPr>
        <w:rPr>
          <w:sz w:val="22"/>
          <w:szCs w:val="22"/>
          <w:lang w:val="pt-BR"/>
        </w:rPr>
      </w:pPr>
    </w:p>
    <w:p w14:paraId="159D4CF0" w14:textId="6BEC4C99" w:rsidR="00050D12" w:rsidRPr="0073014B" w:rsidRDefault="00050D12" w:rsidP="00050D12">
      <w:pPr>
        <w:rPr>
          <w:sz w:val="22"/>
          <w:szCs w:val="22"/>
          <w:lang w:val="pt-BR"/>
        </w:rPr>
      </w:pPr>
    </w:p>
    <w:p w14:paraId="39CAC449" w14:textId="4119C935" w:rsidR="00050D12" w:rsidRPr="0073014B" w:rsidRDefault="00050D12" w:rsidP="00050D12">
      <w:pPr>
        <w:rPr>
          <w:sz w:val="22"/>
          <w:szCs w:val="22"/>
          <w:lang w:val="pt-BR"/>
        </w:rPr>
      </w:pPr>
    </w:p>
    <w:p w14:paraId="4838B163" w14:textId="69017BB7" w:rsidR="00050D12" w:rsidRPr="0073014B" w:rsidRDefault="00050D12" w:rsidP="00050D12">
      <w:pPr>
        <w:rPr>
          <w:sz w:val="22"/>
          <w:szCs w:val="22"/>
          <w:lang w:val="pt-BR"/>
        </w:rPr>
      </w:pPr>
    </w:p>
    <w:p w14:paraId="316699DA" w14:textId="026DFD15" w:rsidR="00050D12" w:rsidRPr="0073014B" w:rsidRDefault="00050D12" w:rsidP="00050D12">
      <w:pPr>
        <w:rPr>
          <w:sz w:val="22"/>
          <w:szCs w:val="22"/>
          <w:lang w:val="pt-BR"/>
        </w:rPr>
      </w:pPr>
    </w:p>
    <w:p w14:paraId="673E11F7" w14:textId="01C99E7C" w:rsidR="00050D12" w:rsidRPr="0073014B" w:rsidRDefault="00050D12" w:rsidP="00050D12">
      <w:pPr>
        <w:rPr>
          <w:sz w:val="22"/>
          <w:szCs w:val="22"/>
          <w:lang w:val="pt-BR"/>
        </w:rPr>
      </w:pPr>
    </w:p>
    <w:p w14:paraId="748452A4" w14:textId="7C90D348" w:rsidR="00050D12" w:rsidRPr="0073014B" w:rsidRDefault="00050D12" w:rsidP="00050D12">
      <w:pPr>
        <w:rPr>
          <w:sz w:val="22"/>
          <w:szCs w:val="22"/>
          <w:lang w:val="pt-BR"/>
        </w:rPr>
      </w:pPr>
    </w:p>
    <w:p w14:paraId="61DE83C5" w14:textId="5CD40CFD" w:rsidR="00050D12" w:rsidRPr="0073014B" w:rsidRDefault="00050D12" w:rsidP="00050D12">
      <w:pPr>
        <w:rPr>
          <w:sz w:val="22"/>
          <w:szCs w:val="22"/>
          <w:lang w:val="pt-BR"/>
        </w:rPr>
      </w:pPr>
    </w:p>
    <w:p w14:paraId="21038E91" w14:textId="2750A0CC" w:rsidR="00050D12" w:rsidRPr="0073014B" w:rsidRDefault="00050D12" w:rsidP="00050D12">
      <w:pPr>
        <w:rPr>
          <w:sz w:val="22"/>
          <w:szCs w:val="22"/>
          <w:lang w:val="pt-BR"/>
        </w:rPr>
      </w:pPr>
    </w:p>
    <w:p w14:paraId="0A79003F" w14:textId="27E441E2" w:rsidR="00A84D10" w:rsidRPr="0073014B" w:rsidRDefault="00A84D10" w:rsidP="00050D12">
      <w:pPr>
        <w:rPr>
          <w:sz w:val="22"/>
          <w:szCs w:val="22"/>
          <w:lang w:val="pt-BR"/>
        </w:rPr>
      </w:pPr>
    </w:p>
    <w:p w14:paraId="4A6D6AB9" w14:textId="5AC83995" w:rsidR="00A84D10" w:rsidRPr="0073014B" w:rsidRDefault="00A84D10" w:rsidP="00050D12">
      <w:pPr>
        <w:rPr>
          <w:sz w:val="22"/>
          <w:szCs w:val="22"/>
          <w:lang w:val="pt-BR"/>
        </w:rPr>
      </w:pPr>
    </w:p>
    <w:p w14:paraId="1063BF86" w14:textId="5A0FB31D" w:rsidR="00050D12" w:rsidRPr="0073014B" w:rsidRDefault="00050D12" w:rsidP="00050D12">
      <w:pPr>
        <w:rPr>
          <w:sz w:val="22"/>
          <w:szCs w:val="22"/>
          <w:lang w:val="pt-BR"/>
        </w:rPr>
      </w:pPr>
    </w:p>
    <w:p w14:paraId="5935B5BA" w14:textId="29716996" w:rsidR="00050D12" w:rsidRPr="0073014B" w:rsidRDefault="00050D12" w:rsidP="00050D12">
      <w:pPr>
        <w:rPr>
          <w:sz w:val="22"/>
          <w:szCs w:val="22"/>
          <w:lang w:val="pt-BR"/>
        </w:rPr>
      </w:pPr>
    </w:p>
    <w:p w14:paraId="5E0D2673" w14:textId="53E4C2AD" w:rsidR="00050D12" w:rsidRPr="0073014B" w:rsidRDefault="00D94AB0" w:rsidP="00050D12">
      <w:pPr>
        <w:jc w:val="center"/>
        <w:rPr>
          <w:sz w:val="22"/>
          <w:szCs w:val="22"/>
          <w:lang w:val="pt-BR"/>
        </w:rPr>
        <w:sectPr w:rsidR="00050D12" w:rsidRPr="0073014B" w:rsidSect="004E004E">
          <w:headerReference w:type="default" r:id="rId12"/>
          <w:pgSz w:w="12240" w:h="15840" w:code="1"/>
          <w:pgMar w:top="2160" w:right="1296" w:bottom="1296" w:left="1699" w:header="1296" w:footer="720" w:gutter="0"/>
          <w:pgNumType w:fmt="numberInDash"/>
          <w:cols w:space="720"/>
          <w:titlePg/>
          <w:docGrid w:linePitch="360"/>
        </w:sectPr>
      </w:pPr>
      <w:r w:rsidRPr="0073014B">
        <w:rPr>
          <w:sz w:val="22"/>
          <w:szCs w:val="22"/>
          <w:lang w:val="pt-BR"/>
        </w:rPr>
        <w:t xml:space="preserve">NOTA DA MISSÃO PERMANENTE DA REPÚBLICA BOLIVARIANA </w:t>
      </w:r>
      <w:r w:rsidRPr="0073014B">
        <w:rPr>
          <w:sz w:val="22"/>
          <w:szCs w:val="22"/>
          <w:lang w:val="pt-BR"/>
        </w:rPr>
        <w:br/>
        <w:t>DA VENEZUELA AANUNCIANDO SEU COPA</w:t>
      </w:r>
      <w:r w:rsidR="00393E23" w:rsidRPr="0073014B">
        <w:rPr>
          <w:sz w:val="22"/>
          <w:szCs w:val="22"/>
          <w:lang w:val="pt-BR"/>
        </w:rPr>
        <w:t>T</w:t>
      </w:r>
      <w:r w:rsidRPr="0073014B">
        <w:rPr>
          <w:sz w:val="22"/>
          <w:szCs w:val="22"/>
          <w:lang w:val="pt-BR"/>
        </w:rPr>
        <w:t xml:space="preserve">ROCÍNIO </w:t>
      </w:r>
      <w:r w:rsidR="00393E23" w:rsidRPr="0073014B">
        <w:rPr>
          <w:sz w:val="22"/>
          <w:szCs w:val="22"/>
          <w:lang w:val="pt-BR"/>
        </w:rPr>
        <w:t>D</w:t>
      </w:r>
      <w:r w:rsidRPr="0073014B">
        <w:rPr>
          <w:sz w:val="22"/>
          <w:szCs w:val="22"/>
          <w:lang w:val="pt-BR"/>
        </w:rPr>
        <w:t xml:space="preserve">O PROJETO </w:t>
      </w:r>
      <w:r w:rsidRPr="0073014B">
        <w:rPr>
          <w:sz w:val="22"/>
          <w:szCs w:val="22"/>
          <w:lang w:val="pt-BR"/>
        </w:rPr>
        <w:br/>
        <w:t>DE DECLARAÇÃO “A SITUAÇÃO NO HAITI” (AG/doc.5746/21)</w:t>
      </w:r>
    </w:p>
    <w:p w14:paraId="17E3D66B" w14:textId="1AA57268" w:rsidR="00F01383" w:rsidRDefault="00F01383" w:rsidP="00395D79">
      <w:pPr>
        <w:jc w:val="both"/>
        <w:rPr>
          <w:lang w:val="pt-BR"/>
        </w:rPr>
      </w:pPr>
      <w:bookmarkStart w:id="1" w:name="_Hlk87610004"/>
    </w:p>
    <w:p w14:paraId="24C9BCBC" w14:textId="4038BBB6" w:rsidR="00395D79" w:rsidRPr="0073014B" w:rsidRDefault="00D94AB0" w:rsidP="00395D79">
      <w:pPr>
        <w:jc w:val="right"/>
        <w:rPr>
          <w:b/>
          <w:bCs/>
          <w:lang w:val="pt-BR"/>
        </w:rPr>
      </w:pPr>
      <w:r w:rsidRPr="0073014B">
        <w:rPr>
          <w:b/>
          <w:bCs/>
          <w:lang w:val="pt-BR"/>
        </w:rPr>
        <w:t>MP-RBV/OEA 155-2021</w:t>
      </w:r>
    </w:p>
    <w:p w14:paraId="6A5A3D27" w14:textId="3F09BA91" w:rsidR="00395D79" w:rsidRDefault="00395D79" w:rsidP="00395D79">
      <w:pPr>
        <w:jc w:val="both"/>
        <w:rPr>
          <w:lang w:val="pt-BR"/>
        </w:rPr>
      </w:pPr>
    </w:p>
    <w:p w14:paraId="734713DB" w14:textId="77777777" w:rsidR="00F01383" w:rsidRPr="0073014B" w:rsidRDefault="00F01383" w:rsidP="00395D79">
      <w:pPr>
        <w:jc w:val="both"/>
        <w:rPr>
          <w:lang w:val="pt-BR"/>
        </w:rPr>
      </w:pPr>
    </w:p>
    <w:p w14:paraId="22E8FE9A" w14:textId="5DE70D55" w:rsidR="00395D79" w:rsidRPr="0073014B" w:rsidRDefault="00D94AB0" w:rsidP="00395D79">
      <w:pPr>
        <w:jc w:val="both"/>
        <w:rPr>
          <w:lang w:val="pt-BR"/>
        </w:rPr>
      </w:pPr>
      <w:r w:rsidRPr="0073014B">
        <w:rPr>
          <w:lang w:val="pt-BR"/>
        </w:rPr>
        <w:t xml:space="preserve">A Missão Permanente da Venezuela junto à Organização dos Estados Americanos </w:t>
      </w:r>
      <w:r w:rsidR="00393E23" w:rsidRPr="0073014B">
        <w:rPr>
          <w:lang w:val="pt-BR"/>
        </w:rPr>
        <w:t xml:space="preserve">cumprimenta a Secretaria Geral da Organização dos Estados Americanos </w:t>
      </w:r>
      <w:r w:rsidR="0073014B">
        <w:rPr>
          <w:lang w:val="pt-BR"/>
        </w:rPr>
        <w:t>ao anunciar o</w:t>
      </w:r>
      <w:r w:rsidR="00393E23" w:rsidRPr="0073014B">
        <w:rPr>
          <w:lang w:val="pt-BR"/>
        </w:rPr>
        <w:t xml:space="preserve"> copatrocínio do projeto de declaração “A situação no Haiti”</w:t>
      </w:r>
      <w:r w:rsidR="0073014B">
        <w:rPr>
          <w:lang w:val="pt-BR"/>
        </w:rPr>
        <w:t xml:space="preserve"> (AG/doc.5746/21).</w:t>
      </w:r>
      <w:r w:rsidR="00393E23" w:rsidRPr="0073014B">
        <w:rPr>
          <w:lang w:val="pt-BR"/>
        </w:rPr>
        <w:t xml:space="preserve"> </w:t>
      </w:r>
    </w:p>
    <w:p w14:paraId="5F7C0FF8" w14:textId="77777777" w:rsidR="00395D79" w:rsidRPr="0073014B" w:rsidRDefault="00395D79" w:rsidP="00395D79">
      <w:pPr>
        <w:jc w:val="both"/>
        <w:rPr>
          <w:lang w:val="pt-BR"/>
        </w:rPr>
      </w:pPr>
    </w:p>
    <w:p w14:paraId="357D7583" w14:textId="277D6647" w:rsidR="00395D79" w:rsidRPr="0073014B" w:rsidRDefault="00393E23" w:rsidP="00395D79">
      <w:pPr>
        <w:jc w:val="both"/>
        <w:rPr>
          <w:lang w:val="pt-BR"/>
        </w:rPr>
      </w:pPr>
      <w:r w:rsidRPr="0073014B">
        <w:rPr>
          <w:lang w:val="pt-BR"/>
        </w:rPr>
        <w:t>A Missão Permanente da Venezuela aproveita a oportunidade para reiterar à Secretaria Geral da Organização dos Estados Americanos seus protestos da mais elevada estima e consideração.</w:t>
      </w:r>
    </w:p>
    <w:p w14:paraId="2911E2F4" w14:textId="77777777" w:rsidR="00395D79" w:rsidRPr="0073014B" w:rsidRDefault="00395D79" w:rsidP="00395D79">
      <w:pPr>
        <w:jc w:val="both"/>
        <w:rPr>
          <w:lang w:val="pt-BR"/>
        </w:rPr>
      </w:pPr>
    </w:p>
    <w:p w14:paraId="2E3C859B" w14:textId="77777777" w:rsidR="00395D79" w:rsidRPr="0073014B" w:rsidRDefault="00395D79" w:rsidP="00395D79">
      <w:pPr>
        <w:jc w:val="right"/>
        <w:rPr>
          <w:lang w:val="pt-BR"/>
        </w:rPr>
      </w:pPr>
    </w:p>
    <w:p w14:paraId="62DE526A" w14:textId="77777777" w:rsidR="00395D79" w:rsidRPr="0073014B" w:rsidRDefault="00395D79" w:rsidP="00395D79">
      <w:pPr>
        <w:jc w:val="right"/>
        <w:rPr>
          <w:lang w:val="pt-BR"/>
        </w:rPr>
      </w:pPr>
    </w:p>
    <w:p w14:paraId="060C94D0" w14:textId="77777777" w:rsidR="00395D79" w:rsidRPr="0073014B" w:rsidRDefault="00395D79" w:rsidP="00395D79">
      <w:pPr>
        <w:jc w:val="right"/>
        <w:rPr>
          <w:u w:val="single"/>
          <w:lang w:val="pt-BR"/>
        </w:rPr>
      </w:pPr>
    </w:p>
    <w:p w14:paraId="2BB59D0C" w14:textId="77777777" w:rsidR="00395D79" w:rsidRPr="0073014B" w:rsidRDefault="00395D79" w:rsidP="00395D79">
      <w:pPr>
        <w:jc w:val="right"/>
        <w:rPr>
          <w:lang w:val="pt-BR"/>
        </w:rPr>
      </w:pPr>
    </w:p>
    <w:p w14:paraId="715692A6" w14:textId="1E76500C" w:rsidR="00395D79" w:rsidRPr="0073014B" w:rsidRDefault="00393E23" w:rsidP="00395D79">
      <w:pPr>
        <w:jc w:val="right"/>
        <w:rPr>
          <w:rFonts w:asciiTheme="minorHAnsi" w:hAnsiTheme="minorHAnsi" w:cstheme="minorBidi"/>
          <w:lang w:val="pt-BR"/>
        </w:rPr>
      </w:pPr>
      <w:r w:rsidRPr="0073014B">
        <w:rPr>
          <w:lang w:val="pt-BR"/>
        </w:rPr>
        <w:t>Washington, 11 de novem</w:t>
      </w:r>
      <w:r w:rsidR="0073014B">
        <w:rPr>
          <w:lang w:val="pt-BR"/>
        </w:rPr>
        <w:t>br</w:t>
      </w:r>
      <w:r w:rsidRPr="0073014B">
        <w:rPr>
          <w:lang w:val="pt-BR"/>
        </w:rPr>
        <w:t>o de 2021</w:t>
      </w:r>
    </w:p>
    <w:p w14:paraId="2144DA79" w14:textId="77777777" w:rsidR="00395D79" w:rsidRPr="0073014B" w:rsidRDefault="00395D79" w:rsidP="00395D79">
      <w:pPr>
        <w:jc w:val="both"/>
        <w:rPr>
          <w:lang w:val="pt-BR"/>
        </w:rPr>
      </w:pPr>
    </w:p>
    <w:p w14:paraId="697E2AA6" w14:textId="77777777" w:rsidR="00395D79" w:rsidRPr="0073014B" w:rsidRDefault="00395D79" w:rsidP="00395D79">
      <w:pPr>
        <w:jc w:val="both"/>
        <w:rPr>
          <w:lang w:val="pt-BR"/>
        </w:rPr>
      </w:pPr>
    </w:p>
    <w:p w14:paraId="28370237" w14:textId="432321E0" w:rsidR="00395D79" w:rsidRPr="0073014B" w:rsidRDefault="00395D79" w:rsidP="00395D79">
      <w:pPr>
        <w:jc w:val="both"/>
        <w:rPr>
          <w:lang w:val="pt-BR"/>
        </w:rPr>
      </w:pPr>
      <w:r w:rsidRPr="0073014B">
        <w:rPr>
          <w:noProof/>
          <w:lang w:val="pt-BR"/>
        </w:rPr>
        <mc:AlternateContent>
          <mc:Choice Requires="wpi">
            <w:drawing>
              <wp:anchor distT="0" distB="0" distL="114300" distR="114300" simplePos="0" relativeHeight="251657728" behindDoc="0" locked="0" layoutInCell="1" allowOverlap="1" wp14:anchorId="6136AB69" wp14:editId="3BB776EA">
                <wp:simplePos x="0" y="0"/>
                <wp:positionH relativeFrom="column">
                  <wp:posOffset>1442085</wp:posOffset>
                </wp:positionH>
                <wp:positionV relativeFrom="paragraph">
                  <wp:posOffset>-497840</wp:posOffset>
                </wp:positionV>
                <wp:extent cx="608965" cy="1044575"/>
                <wp:effectExtent l="3810" t="0" r="0" b="0"/>
                <wp:wrapNone/>
                <wp:docPr id="5" name="In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608965" cy="104457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F03AA" id="Ink 5" o:spid="_x0000_s1026" type="#_x0000_t75" style="position:absolute;margin-left:113.55pt;margin-top:-39.2pt;width:47.95pt;height:82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">
                <o:lock v:ext="edit" rotation="t" verticies="t" shapetype="t"/>
              </v:shape>
            </w:pict>
          </mc:Fallback>
        </mc:AlternateContent>
      </w:r>
    </w:p>
    <w:p w14:paraId="5DB7FE36" w14:textId="77777777" w:rsidR="00395D79" w:rsidRPr="0073014B" w:rsidRDefault="00395D79" w:rsidP="00395D79">
      <w:pPr>
        <w:jc w:val="both"/>
        <w:rPr>
          <w:lang w:val="pt-BR"/>
        </w:rPr>
      </w:pPr>
    </w:p>
    <w:p w14:paraId="76A04551" w14:textId="77777777" w:rsidR="00395D79" w:rsidRPr="0073014B" w:rsidRDefault="00395D79" w:rsidP="00395D79">
      <w:pPr>
        <w:jc w:val="both"/>
        <w:rPr>
          <w:lang w:val="pt-BR"/>
        </w:rPr>
      </w:pPr>
    </w:p>
    <w:p w14:paraId="7D901D3F" w14:textId="77777777" w:rsidR="00395D79" w:rsidRPr="0073014B" w:rsidRDefault="00395D79" w:rsidP="00395D79">
      <w:pPr>
        <w:jc w:val="both"/>
        <w:rPr>
          <w:lang w:val="pt-BR"/>
        </w:rPr>
      </w:pPr>
    </w:p>
    <w:p w14:paraId="1CBEFE96" w14:textId="3799FD95" w:rsidR="00395D79" w:rsidRPr="0073014B" w:rsidRDefault="00393E23" w:rsidP="00395D79">
      <w:pPr>
        <w:jc w:val="both"/>
        <w:rPr>
          <w:lang w:val="pt-BR"/>
        </w:rPr>
      </w:pPr>
      <w:r w:rsidRPr="0073014B">
        <w:rPr>
          <w:lang w:val="pt-BR"/>
        </w:rPr>
        <w:t>À Secretaria Geral</w:t>
      </w:r>
      <w:r w:rsidR="00395D79" w:rsidRPr="0073014B">
        <w:rPr>
          <w:lang w:val="pt-BR"/>
        </w:rPr>
        <w:t xml:space="preserve"> </w:t>
      </w:r>
    </w:p>
    <w:p w14:paraId="66398E57" w14:textId="0B441415" w:rsidR="00395D79" w:rsidRPr="0073014B" w:rsidRDefault="00393E23" w:rsidP="00395D79">
      <w:pPr>
        <w:jc w:val="both"/>
        <w:rPr>
          <w:lang w:val="pt-BR"/>
        </w:rPr>
      </w:pPr>
      <w:r w:rsidRPr="0073014B">
        <w:rPr>
          <w:lang w:val="pt-BR"/>
        </w:rPr>
        <w:t>Organização dos Estados Americanos</w:t>
      </w:r>
    </w:p>
    <w:bookmarkEnd w:id="1"/>
    <w:p w14:paraId="4916953E" w14:textId="18F312FC" w:rsidR="00395D79" w:rsidRDefault="00395D79" w:rsidP="00395D79">
      <w:pPr>
        <w:jc w:val="both"/>
        <w:rPr>
          <w:rFonts w:asciiTheme="minorHAnsi" w:hAnsiTheme="minorHAnsi" w:cstheme="minorBidi"/>
          <w:lang w:val="pt-BR"/>
        </w:rPr>
      </w:pPr>
    </w:p>
    <w:p w14:paraId="402C02F9" w14:textId="737AD17C" w:rsidR="00CA7A6D" w:rsidRDefault="00CA7A6D" w:rsidP="00395D79">
      <w:pPr>
        <w:jc w:val="both"/>
        <w:rPr>
          <w:rFonts w:asciiTheme="minorHAnsi" w:hAnsiTheme="minorHAnsi" w:cstheme="minorBidi"/>
          <w:lang w:val="pt-BR"/>
        </w:rPr>
      </w:pPr>
    </w:p>
    <w:p w14:paraId="49C389BE" w14:textId="6D881610" w:rsidR="00CA7A6D" w:rsidRDefault="00CA7A6D" w:rsidP="00395D79">
      <w:pPr>
        <w:jc w:val="both"/>
        <w:rPr>
          <w:rFonts w:asciiTheme="minorHAnsi" w:hAnsiTheme="minorHAnsi" w:cstheme="minorBidi"/>
          <w:lang w:val="pt-BR"/>
        </w:rPr>
      </w:pPr>
    </w:p>
    <w:p w14:paraId="18C34E10" w14:textId="1796852C" w:rsidR="00CA7A6D" w:rsidRDefault="00CA7A6D" w:rsidP="00395D79">
      <w:pPr>
        <w:jc w:val="both"/>
        <w:rPr>
          <w:rFonts w:asciiTheme="minorHAnsi" w:hAnsiTheme="minorHAnsi" w:cstheme="minorBidi"/>
          <w:lang w:val="pt-BR"/>
        </w:rPr>
      </w:pPr>
    </w:p>
    <w:p w14:paraId="047F95CC" w14:textId="2DA2580D" w:rsidR="00CA7A6D" w:rsidRDefault="00CA7A6D" w:rsidP="00395D79">
      <w:pPr>
        <w:jc w:val="both"/>
        <w:rPr>
          <w:rFonts w:asciiTheme="minorHAnsi" w:hAnsiTheme="minorHAnsi" w:cstheme="minorBidi"/>
          <w:lang w:val="pt-BR"/>
        </w:rPr>
      </w:pPr>
    </w:p>
    <w:p w14:paraId="4818B341" w14:textId="76A197DB" w:rsidR="00CA7A6D" w:rsidRDefault="00CA7A6D" w:rsidP="00395D79">
      <w:pPr>
        <w:jc w:val="both"/>
        <w:rPr>
          <w:rFonts w:asciiTheme="minorHAnsi" w:hAnsiTheme="minorHAnsi" w:cstheme="minorBidi"/>
          <w:lang w:val="pt-BR"/>
        </w:rPr>
      </w:pPr>
    </w:p>
    <w:p w14:paraId="304BA532" w14:textId="77777777" w:rsidR="00CA7A6D" w:rsidRPr="0073014B" w:rsidRDefault="00CA7A6D" w:rsidP="00395D79">
      <w:pPr>
        <w:jc w:val="both"/>
        <w:rPr>
          <w:rFonts w:asciiTheme="minorHAnsi" w:hAnsiTheme="minorHAnsi" w:cstheme="minorBidi"/>
          <w:lang w:val="pt-BR"/>
        </w:rPr>
      </w:pPr>
    </w:p>
    <w:p w14:paraId="41DA850E" w14:textId="77777777" w:rsidR="00216D7A" w:rsidRPr="0073014B" w:rsidRDefault="00216D7A" w:rsidP="00216D7A">
      <w:pPr>
        <w:jc w:val="both"/>
        <w:rPr>
          <w:sz w:val="22"/>
          <w:szCs w:val="22"/>
          <w:lang w:val="pt-BR"/>
        </w:rPr>
      </w:pPr>
    </w:p>
    <w:p w14:paraId="3DD1E545" w14:textId="1B3B7CB2" w:rsidR="00CA7A6D" w:rsidRDefault="00877FC1" w:rsidP="00216D7A">
      <w:pPr>
        <w:jc w:val="both"/>
        <w:rPr>
          <w:lang w:val="pt-BR"/>
        </w:rPr>
      </w:pPr>
      <w:r w:rsidRPr="0073014B">
        <w:rPr>
          <w:noProof/>
          <w:sz w:val="22"/>
          <w:szCs w:val="22"/>
          <w:lang w:val="pt-BR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363B0545" wp14:editId="459D90C5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5EC3124" w14:textId="08D1A7D5" w:rsidR="00877FC1" w:rsidRPr="00877FC1" w:rsidRDefault="00877FC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3B054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7.2pt;margin-top:10in;width:266.4pt;height:18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" filled="f" stroked="f">
                <v:stroke joinstyle="round"/>
                <v:textbox>
                  <w:txbxContent>
                    <w:p w14:paraId="45EC3124" w14:textId="08D1A7D5" w:rsidR="00877FC1" w:rsidRPr="00877FC1" w:rsidRDefault="00877FC1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69A643F5" w14:textId="542B744E" w:rsidR="00CA7A6D" w:rsidRPr="0073014B" w:rsidRDefault="00DC202A" w:rsidP="00216D7A">
      <w:pPr>
        <w:jc w:val="both"/>
        <w:rPr>
          <w:sz w:val="22"/>
          <w:szCs w:val="22"/>
          <w:lang w:val="pt-BR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53859308" wp14:editId="24FBFF23">
            <wp:simplePos x="0" y="0"/>
            <wp:positionH relativeFrom="column">
              <wp:posOffset>5064760</wp:posOffset>
            </wp:positionH>
            <wp:positionV relativeFrom="page">
              <wp:posOffset>8505825</wp:posOffset>
            </wp:positionV>
            <wp:extent cx="713105" cy="713105"/>
            <wp:effectExtent l="0" t="0" r="0" b="0"/>
            <wp:wrapNone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383">
        <w:rPr>
          <w:noProof/>
          <w:sz w:val="22"/>
          <w:szCs w:val="22"/>
          <w:lang w:val="pt-BR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4C3ECB79" wp14:editId="288FF5B2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FD02349" w14:textId="7939D9F7" w:rsidR="00F01383" w:rsidRPr="00F01383" w:rsidRDefault="00F0138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AG08439P04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ECB79" id="Text Box 4" o:spid="_x0000_s1027" type="#_x0000_t202" style="position:absolute;left:0;text-align:left;margin-left:-7.2pt;margin-top:10in;width:266.4pt;height:18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PX6ggIAAAkFAAAOAAAAZHJzL2Uyb0RvYy54bWysVMFu2zAMvQ/YPwi6r07ctE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" filled="f" stroked="f">
                <v:stroke joinstyle="round"/>
                <v:textbox>
                  <w:txbxContent>
                    <w:p w14:paraId="6FD02349" w14:textId="7939D9F7" w:rsidR="00F01383" w:rsidRPr="00F01383" w:rsidRDefault="00F0138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AG08439P04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bookmarkEnd w:id="0"/>
    <w:sectPr w:rsidR="00CA7A6D" w:rsidRPr="0073014B" w:rsidSect="00050D12">
      <w:type w:val="oddPage"/>
      <w:pgSz w:w="12240" w:h="15840" w:code="1"/>
      <w:pgMar w:top="2160" w:right="1296" w:bottom="1296" w:left="1699" w:header="1296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4EBBB" w14:textId="77777777" w:rsidR="00403EB8" w:rsidRDefault="00403EB8" w:rsidP="004E004E">
      <w:r>
        <w:separator/>
      </w:r>
    </w:p>
  </w:endnote>
  <w:endnote w:type="continuationSeparator" w:id="0">
    <w:p w14:paraId="7FF01D85" w14:textId="77777777" w:rsidR="00403EB8" w:rsidRDefault="00403EB8" w:rsidP="004E0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B1752" w14:textId="77777777" w:rsidR="00403EB8" w:rsidRDefault="00403EB8" w:rsidP="004E004E">
      <w:r>
        <w:separator/>
      </w:r>
    </w:p>
  </w:footnote>
  <w:footnote w:type="continuationSeparator" w:id="0">
    <w:p w14:paraId="1E0A58CF" w14:textId="77777777" w:rsidR="00403EB8" w:rsidRDefault="00403EB8" w:rsidP="004E0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502537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8F467E5" w14:textId="1FB2DDDA" w:rsidR="004E004E" w:rsidRDefault="004E004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F1414B" w14:textId="77777777" w:rsidR="004E004E" w:rsidRDefault="004E00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A59D8"/>
    <w:multiLevelType w:val="hybridMultilevel"/>
    <w:tmpl w:val="1486B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77BA1"/>
    <w:multiLevelType w:val="hybridMultilevel"/>
    <w:tmpl w:val="5018F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651FBF"/>
    <w:multiLevelType w:val="hybridMultilevel"/>
    <w:tmpl w:val="1794E00C"/>
    <w:lvl w:ilvl="0" w:tplc="36FA5D8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670571"/>
    <w:multiLevelType w:val="hybridMultilevel"/>
    <w:tmpl w:val="C45C92EA"/>
    <w:lvl w:ilvl="0" w:tplc="0D4EC82C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E729B"/>
    <w:multiLevelType w:val="hybridMultilevel"/>
    <w:tmpl w:val="082E4CC6"/>
    <w:lvl w:ilvl="0" w:tplc="95F2DA7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68ED3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3A7A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74AA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7A9D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2C39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E645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DC9D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042A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54156"/>
    <w:multiLevelType w:val="hybridMultilevel"/>
    <w:tmpl w:val="74E4CC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D807AC"/>
    <w:multiLevelType w:val="multilevel"/>
    <w:tmpl w:val="C1DA4E70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494C385C"/>
    <w:multiLevelType w:val="hybridMultilevel"/>
    <w:tmpl w:val="CC766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E23A6"/>
    <w:multiLevelType w:val="hybridMultilevel"/>
    <w:tmpl w:val="41DE4B9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542897"/>
    <w:multiLevelType w:val="hybridMultilevel"/>
    <w:tmpl w:val="D94CB3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C354C"/>
    <w:multiLevelType w:val="hybridMultilevel"/>
    <w:tmpl w:val="B2701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25025"/>
    <w:multiLevelType w:val="hybridMultilevel"/>
    <w:tmpl w:val="9E84A1AE"/>
    <w:lvl w:ilvl="0" w:tplc="0D4EC82C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8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0"/>
  </w:num>
  <w:num w:numId="8">
    <w:abstractNumId w:val="2"/>
  </w:num>
  <w:num w:numId="9">
    <w:abstractNumId w:val="9"/>
  </w:num>
  <w:num w:numId="10">
    <w:abstractNumId w:val="6"/>
  </w:num>
  <w:num w:numId="11">
    <w:abstractNumId w:val="4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3BC"/>
    <w:rsid w:val="00050D12"/>
    <w:rsid w:val="00084721"/>
    <w:rsid w:val="000A21C9"/>
    <w:rsid w:val="000B2217"/>
    <w:rsid w:val="000E504C"/>
    <w:rsid w:val="00191329"/>
    <w:rsid w:val="00193AE4"/>
    <w:rsid w:val="00210A9A"/>
    <w:rsid w:val="00216D7A"/>
    <w:rsid w:val="00222809"/>
    <w:rsid w:val="00277415"/>
    <w:rsid w:val="002D0069"/>
    <w:rsid w:val="002D3AEA"/>
    <w:rsid w:val="00330F3A"/>
    <w:rsid w:val="003565D1"/>
    <w:rsid w:val="00391A8F"/>
    <w:rsid w:val="00393E23"/>
    <w:rsid w:val="00395D79"/>
    <w:rsid w:val="003C36C7"/>
    <w:rsid w:val="003C5AFE"/>
    <w:rsid w:val="003F4F45"/>
    <w:rsid w:val="00403EB8"/>
    <w:rsid w:val="004248E2"/>
    <w:rsid w:val="00453C84"/>
    <w:rsid w:val="00465B5C"/>
    <w:rsid w:val="004704EC"/>
    <w:rsid w:val="004E004E"/>
    <w:rsid w:val="00593C95"/>
    <w:rsid w:val="005A4D13"/>
    <w:rsid w:val="005C52E7"/>
    <w:rsid w:val="005C7CD2"/>
    <w:rsid w:val="005F7526"/>
    <w:rsid w:val="0062046E"/>
    <w:rsid w:val="007030BE"/>
    <w:rsid w:val="007134A9"/>
    <w:rsid w:val="0073014B"/>
    <w:rsid w:val="0074027F"/>
    <w:rsid w:val="007809A5"/>
    <w:rsid w:val="00790D3C"/>
    <w:rsid w:val="00793FF5"/>
    <w:rsid w:val="007A2E96"/>
    <w:rsid w:val="007F53BC"/>
    <w:rsid w:val="00804B6A"/>
    <w:rsid w:val="0082228D"/>
    <w:rsid w:val="00877FC1"/>
    <w:rsid w:val="00886EEA"/>
    <w:rsid w:val="008D1406"/>
    <w:rsid w:val="0098399A"/>
    <w:rsid w:val="009E6DEF"/>
    <w:rsid w:val="00A55CFC"/>
    <w:rsid w:val="00A84D10"/>
    <w:rsid w:val="00AB34A1"/>
    <w:rsid w:val="00B2122E"/>
    <w:rsid w:val="00C1238E"/>
    <w:rsid w:val="00C13D23"/>
    <w:rsid w:val="00C63EB5"/>
    <w:rsid w:val="00C86A8A"/>
    <w:rsid w:val="00CA7A6D"/>
    <w:rsid w:val="00CC1B7D"/>
    <w:rsid w:val="00D05E94"/>
    <w:rsid w:val="00D70943"/>
    <w:rsid w:val="00D94AB0"/>
    <w:rsid w:val="00DC202A"/>
    <w:rsid w:val="00DC22B9"/>
    <w:rsid w:val="00DD638B"/>
    <w:rsid w:val="00E2092C"/>
    <w:rsid w:val="00E6674C"/>
    <w:rsid w:val="00E92932"/>
    <w:rsid w:val="00E94C62"/>
    <w:rsid w:val="00E96949"/>
    <w:rsid w:val="00EE0E7F"/>
    <w:rsid w:val="00EE533E"/>
    <w:rsid w:val="00EE7456"/>
    <w:rsid w:val="00EF7AAB"/>
    <w:rsid w:val="00F01383"/>
    <w:rsid w:val="00F01C69"/>
    <w:rsid w:val="00F133AF"/>
    <w:rsid w:val="00F3404F"/>
    <w:rsid w:val="00F6470A"/>
    <w:rsid w:val="00F85271"/>
    <w:rsid w:val="00FA5738"/>
    <w:rsid w:val="00FB4F03"/>
    <w:rsid w:val="00FC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2"/>
    </o:shapelayout>
  </w:shapeDefaults>
  <w:decimalSymbol w:val="."/>
  <w:listSeparator w:val=","/>
  <w14:docId w14:val="0E8E07F5"/>
  <w15:docId w15:val="{5D8E09D0-54B6-44DF-BBD4-E398D79E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F53BC"/>
    <w:rPr>
      <w:color w:val="0563C1" w:themeColor="hyperlink"/>
      <w:u w:val="single"/>
    </w:rPr>
  </w:style>
  <w:style w:type="paragraph" w:styleId="ListParagraph">
    <w:name w:val="List Paragraph"/>
    <w:basedOn w:val="Normal"/>
    <w:uiPriority w:val="72"/>
    <w:qFormat/>
    <w:rsid w:val="007F53B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19132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91329"/>
    <w:rPr>
      <w:sz w:val="18"/>
      <w:szCs w:val="18"/>
    </w:rPr>
  </w:style>
  <w:style w:type="character" w:styleId="CommentReference">
    <w:name w:val="annotation reference"/>
    <w:basedOn w:val="DefaultParagraphFont"/>
    <w:rsid w:val="001913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913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9132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913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91329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647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6470A"/>
    <w:rPr>
      <w:rFonts w:ascii="Courier New" w:hAnsi="Courier New" w:cs="Courier New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F3404F"/>
    <w:pPr>
      <w:widowControl w:val="0"/>
      <w:tabs>
        <w:tab w:val="center" w:pos="4320"/>
        <w:tab w:val="right" w:pos="8640"/>
      </w:tabs>
      <w:jc w:val="both"/>
    </w:pPr>
    <w:rPr>
      <w:rFonts w:ascii="CG Times" w:hAnsi="CG Times"/>
      <w:sz w:val="22"/>
      <w:szCs w:val="20"/>
      <w:lang w:val="es-ES"/>
    </w:rPr>
  </w:style>
  <w:style w:type="character" w:customStyle="1" w:styleId="HeaderChar">
    <w:name w:val="Header Char"/>
    <w:basedOn w:val="DefaultParagraphFont"/>
    <w:link w:val="Header"/>
    <w:uiPriority w:val="99"/>
    <w:rsid w:val="00F3404F"/>
    <w:rPr>
      <w:rFonts w:ascii="CG Times" w:hAnsi="CG Times"/>
      <w:sz w:val="22"/>
      <w:lang w:val="es-ES"/>
    </w:rPr>
  </w:style>
  <w:style w:type="paragraph" w:styleId="BodyTextIndent3">
    <w:name w:val="Body Text Indent 3"/>
    <w:basedOn w:val="Normal"/>
    <w:link w:val="BodyTextIndent3Char"/>
    <w:semiHidden/>
    <w:unhideWhenUsed/>
    <w:rsid w:val="00F3404F"/>
    <w:pPr>
      <w:snapToGrid w:val="0"/>
      <w:spacing w:after="120"/>
      <w:ind w:left="360"/>
    </w:pPr>
    <w:rPr>
      <w:rFonts w:eastAsia="Batang"/>
      <w:sz w:val="16"/>
      <w:szCs w:val="16"/>
      <w:lang w:val="es-ES" w:eastAsia="es-E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3404F"/>
    <w:rPr>
      <w:rFonts w:eastAsia="Batang"/>
      <w:sz w:val="16"/>
      <w:szCs w:val="16"/>
      <w:lang w:val="es-ES" w:eastAsia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EE74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804B6A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4E00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E00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ink/ink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ink/ink1.xml><?xml version="1.0" encoding="utf-8"?>
<inkml:ink xmlns:inkml="http://www.w3.org/2003/InkML">
  <inkml:definitions/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A39419-E4CD-44D3-880D-51F423FA4A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B54AB3-2C86-414C-B756-D393DFCAE2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4ED23A-26A6-48DC-94A8-BD8002618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121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Uribe, Gloria</dc:creator>
  <cp:lastModifiedBy>Mayorga, Georgina</cp:lastModifiedBy>
  <cp:revision>4</cp:revision>
  <dcterms:created xsi:type="dcterms:W3CDTF">2021-11-12T18:43:00Z</dcterms:created>
  <dcterms:modified xsi:type="dcterms:W3CDTF">2021-11-12T20:10:00Z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0x01010076D035A163BC0046A41C2EBE1E58AFFF</vt:lpwstr>
  </property>
</Properties>
</file>